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</w:tblGrid>
      <w:tr w:rsidR="00806CCB" w:rsidRPr="00675E23" w:rsidTr="00806CCB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675E23">
              <w:rPr>
                <w:rFonts w:cstheme="minorHAnsi"/>
                <w:color w:val="000000"/>
                <w:position w:val="1"/>
              </w:rPr>
              <w:t>FECHA:</w:t>
            </w:r>
          </w:p>
        </w:tc>
      </w:tr>
      <w:tr w:rsidR="00806CCB" w:rsidRPr="00675E23" w:rsidTr="00806CCB">
        <w:trPr>
          <w:trHeight w:val="40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NOMBRE DEL FUNCIONARIO:</w:t>
            </w:r>
          </w:p>
        </w:tc>
      </w:tr>
      <w:tr w:rsidR="00806CCB" w:rsidRPr="00675E23" w:rsidTr="00806CCB">
        <w:trPr>
          <w:trHeight w:val="40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CARGO QUE OCUPABA:</w:t>
            </w:r>
          </w:p>
        </w:tc>
      </w:tr>
      <w:tr w:rsidR="00806CCB" w:rsidRPr="00675E23" w:rsidTr="00806CCB">
        <w:trPr>
          <w:trHeight w:val="41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</w:rPr>
              <w:t>MOTIVO DE LA DESVINCULACIÓN:</w:t>
            </w:r>
          </w:p>
        </w:tc>
      </w:tr>
      <w:tr w:rsidR="00806CCB" w:rsidRPr="00675E23" w:rsidTr="00806CCB">
        <w:trPr>
          <w:trHeight w:val="41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</w:rPr>
              <w:t>PERIODO DE DESEMPEÑO EN EL CARGO DEL DD/MM/AAAA AL DD/MM/AAAA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>1. INFORME DE LA GESTIÓN DEL SERVIDOR PÚBLICO SALIENTE, CON LA INDICACIÓN DE LOS PROGRAMAS, ESTUDIOS Y PROYECTOS (INCLUIDOS LOS DE OBRA PÚBLICA) QUE DESARROLLÓ O LIDERÓ, Y AQUELLOS QUE SE ENCUENTRAN EN PROCESO.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A continuación, se exponen los principales logros que se alcanzaron en la gestión desempeñada en el cargo de (…):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>2. DETALLE PORMENORIZADO SOBRE LA SITUACIÓN DE LOS RECURSOS MATERIALES, FINANCIEROS, EJECUCIÓN PRESUPUESTAL Y HUMANOS; ASÍ COMO LOS BIENES MUEBLES E INMUEBLES A SU CARGO, DEBIDAMENTE ACTUALIZADOS A LA FECHA DE ENTREGA.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-1"/>
              </w:rPr>
            </w:pPr>
            <w:r w:rsidRPr="00675E23">
              <w:rPr>
                <w:rFonts w:cstheme="minorHAnsi"/>
                <w:color w:val="000000"/>
                <w:spacing w:val="-1"/>
              </w:rPr>
              <w:t>En el siguiente archivo, presento el informe de la ejecución presupuesta de las vigencias (…): INFORME DE EJECUCIÓN PRESUPUESTAL (…)</w:t>
            </w: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-1"/>
              </w:rPr>
            </w:pP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-1"/>
              </w:rPr>
              <w:t>(ANEXO 1)</w:t>
            </w:r>
          </w:p>
        </w:tc>
      </w:tr>
      <w:tr w:rsidR="00806CCB" w:rsidRPr="00675E23" w:rsidTr="00806CCB">
        <w:trPr>
          <w:trHeight w:val="4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>3. REGLAMENTOS, MANUALES DE ORGANIZACIÓN, DE PROCEDIMIENTOS.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</w:rPr>
              <w:t>Adjunto en medio digital un listado de todos los manuales vigentes que están formalizados en el Sistema de Gestión de la Calidad:</w:t>
            </w: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</w:rPr>
              <w:t>LISTADO MAESTRO DOCUMENTOS (ANEXO 2)</w:t>
            </w:r>
          </w:p>
        </w:tc>
      </w:tr>
      <w:tr w:rsidR="00806CCB" w:rsidRPr="00675E23" w:rsidTr="00806CCB">
        <w:trPr>
          <w:trHeight w:val="5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>4. RELACIÓN DE ARCHIVOS FÍSICOS Y MAGNÉTICOS (INCLUIR CLAVES DE ACCESO), INCLUIDO EL INVENTARIO DOCUMENTAL DE LA UNIDAD ADMINISTRATIVA.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En CD hago entrega en medio magnético de todos los documentos reseñados en el presente formato y del Formato único de inventario documental (FUID) debidamente diligenciado.</w:t>
            </w: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VER ANEXO 3</w:t>
            </w:r>
          </w:p>
        </w:tc>
      </w:tr>
      <w:tr w:rsidR="00806CCB" w:rsidRPr="00675E23" w:rsidTr="00434F86">
        <w:trPr>
          <w:trHeight w:val="23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 xml:space="preserve">5. INFORME DEL ESTADO DE LOS CONVENIOS Y/O CONTRATOS QUE SUPERVISÓ O TUVO BAJO SU RESPONSABILIDAD. 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Adjunto en archivo el listado de los contratos y convenios vigentes, que actualmente se gestionan en la unidad: INFORME CONTRATOS Y CONVENIOS VIGENTES.</w:t>
            </w: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(ANEXO 4)</w:t>
            </w:r>
          </w:p>
        </w:tc>
      </w:tr>
      <w:tr w:rsidR="00806CCB" w:rsidRPr="00675E23" w:rsidTr="00434F86">
        <w:trPr>
          <w:trHeight w:val="23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675E23">
              <w:rPr>
                <w:rFonts w:cstheme="minorHAnsi"/>
                <w:b/>
                <w:bCs/>
                <w:color w:val="000000"/>
              </w:rPr>
              <w:t>6. INFORME DEL ESTADO DE LOS DOCUMENTOS ASIGNADOS EN EL SISTEMA ORFEO.</w:t>
            </w:r>
          </w:p>
        </w:tc>
      </w:tr>
      <w:tr w:rsidR="00806CCB" w:rsidRPr="00675E23" w:rsidTr="00806CCB">
        <w:trPr>
          <w:trHeight w:val="80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Todos los documentos asignados a través del sistema ORFEO, fueron tramitados de manera oportuna. El usuario (…) asignado a mi cargo, queda con todas las bandejas limpias, tal como se evidencia en el pantallazo adjunto.</w:t>
            </w: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  <w:spacing w:val="1"/>
              </w:rPr>
            </w:pPr>
          </w:p>
          <w:p w:rsidR="00806CCB" w:rsidRPr="00675E23" w:rsidRDefault="00806CCB" w:rsidP="00B351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75E23">
              <w:rPr>
                <w:rFonts w:cstheme="minorHAnsi"/>
                <w:color w:val="000000"/>
                <w:spacing w:val="1"/>
              </w:rPr>
              <w:t>VER ANEXO 5</w:t>
            </w:r>
          </w:p>
        </w:tc>
      </w:tr>
    </w:tbl>
    <w:p w:rsidR="009C580B" w:rsidRPr="00675E23" w:rsidRDefault="009C580B" w:rsidP="00B351FE">
      <w:pPr>
        <w:pStyle w:val="Sinespaciado"/>
        <w:jc w:val="both"/>
        <w:rPr>
          <w:rFonts w:cstheme="minorHAnsi"/>
        </w:rPr>
      </w:pPr>
    </w:p>
    <w:p w:rsidR="008759D0" w:rsidRPr="00675E23" w:rsidRDefault="008759D0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  <w:b/>
        </w:rPr>
        <w:t>NOTAS</w:t>
      </w:r>
      <w:r w:rsidR="00702D80" w:rsidRPr="00675E23">
        <w:rPr>
          <w:rFonts w:cstheme="minorHAnsi"/>
          <w:b/>
        </w:rPr>
        <w:t>:</w:t>
      </w:r>
      <w:r w:rsidR="00702D80" w:rsidRPr="00675E23">
        <w:rPr>
          <w:rFonts w:cstheme="minorHAnsi"/>
        </w:rPr>
        <w:t xml:space="preserve"> </w:t>
      </w:r>
    </w:p>
    <w:p w:rsidR="00806CCB" w:rsidRPr="00675E23" w:rsidRDefault="00806CCB" w:rsidP="00B351FE">
      <w:pPr>
        <w:pStyle w:val="Sinespaciado"/>
        <w:jc w:val="both"/>
        <w:rPr>
          <w:rFonts w:cstheme="minorHAnsi"/>
        </w:rPr>
      </w:pPr>
    </w:p>
    <w:p w:rsidR="00CF78A6" w:rsidRPr="00675E23" w:rsidRDefault="008759D0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  <w:b/>
        </w:rPr>
        <w:t>1.</w:t>
      </w:r>
      <w:r w:rsidRPr="00675E23">
        <w:rPr>
          <w:rFonts w:cstheme="minorHAnsi"/>
        </w:rPr>
        <w:t xml:space="preserve"> </w:t>
      </w:r>
      <w:r w:rsidR="00702D80" w:rsidRPr="00675E23">
        <w:rPr>
          <w:rFonts w:cstheme="minorHAnsi"/>
        </w:rPr>
        <w:t>El plazo para la presentación de la presente Acta de informe, por parte del funcionario saliente, es dentro del término de 15 días hábiles siguientes al reti</w:t>
      </w:r>
      <w:r w:rsidR="00BC3F08" w:rsidRPr="00675E23">
        <w:rPr>
          <w:rFonts w:cstheme="minorHAnsi"/>
        </w:rPr>
        <w:t>ro del cargo (art.4 ley 951 de 2005).</w:t>
      </w:r>
    </w:p>
    <w:p w:rsidR="0099036C" w:rsidRPr="00675E23" w:rsidRDefault="0099036C" w:rsidP="00B351FE">
      <w:pPr>
        <w:pStyle w:val="Sinespaciado"/>
        <w:jc w:val="both"/>
        <w:rPr>
          <w:rFonts w:cstheme="minorHAnsi"/>
        </w:rPr>
      </w:pPr>
    </w:p>
    <w:p w:rsidR="0099036C" w:rsidRPr="00675E23" w:rsidRDefault="008759D0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  <w:b/>
        </w:rPr>
        <w:t>2.</w:t>
      </w:r>
      <w:r w:rsidRPr="00675E23">
        <w:rPr>
          <w:rFonts w:cstheme="minorHAnsi"/>
        </w:rPr>
        <w:t xml:space="preserve"> </w:t>
      </w:r>
      <w:r w:rsidR="00177617" w:rsidRPr="00675E23">
        <w:rPr>
          <w:rFonts w:cstheme="minorHAnsi"/>
        </w:rPr>
        <w:t xml:space="preserve">La verificación del contenido del acta correspondiente deberá realizarse por el servidor público entrante en un término de treinta (30) días, contados a partir de la fecha de entrega y recepción del Despacho. </w:t>
      </w:r>
      <w:r w:rsidR="00FF2EF8" w:rsidRPr="00675E23">
        <w:rPr>
          <w:rFonts w:cstheme="minorHAnsi"/>
        </w:rPr>
        <w:t>Durante dicho lapso, el servidor público saliente podrá ser requerido</w:t>
      </w:r>
      <w:r w:rsidR="00FF2EF8" w:rsidRPr="00675E23">
        <w:rPr>
          <w:rFonts w:cstheme="minorHAnsi"/>
          <w:b/>
        </w:rPr>
        <w:t xml:space="preserve"> </w:t>
      </w:r>
      <w:r w:rsidR="00FF2EF8" w:rsidRPr="00675E23">
        <w:rPr>
          <w:rFonts w:cstheme="minorHAnsi"/>
        </w:rPr>
        <w:t xml:space="preserve">para que haga las aclaraciones y proporcione la información adicional que le soliciten. </w:t>
      </w:r>
      <w:r w:rsidR="0099036C" w:rsidRPr="00675E23">
        <w:rPr>
          <w:rFonts w:cstheme="minorHAnsi"/>
        </w:rPr>
        <w:t xml:space="preserve">En caso de que el servidor público entrante detecte irregularidades en los </w:t>
      </w:r>
      <w:r w:rsidR="0099036C" w:rsidRPr="00675E23">
        <w:rPr>
          <w:rFonts w:cstheme="minorHAnsi"/>
        </w:rPr>
        <w:lastRenderedPageBreak/>
        <w:t xml:space="preserve">documentos y recursos recibidos dentro del término señalado, deberá hacerlas del conocimiento del órgano de control a que corresponda </w:t>
      </w:r>
      <w:r w:rsidR="00177617" w:rsidRPr="00675E23">
        <w:rPr>
          <w:rFonts w:cstheme="minorHAnsi"/>
        </w:rPr>
        <w:t xml:space="preserve">en </w:t>
      </w:r>
      <w:r w:rsidR="0099036C" w:rsidRPr="00675E23">
        <w:rPr>
          <w:rFonts w:cstheme="minorHAnsi"/>
        </w:rPr>
        <w:t xml:space="preserve">la entidad, a fin de que el servidor público saliente </w:t>
      </w:r>
      <w:r w:rsidR="00177617" w:rsidRPr="00675E23">
        <w:rPr>
          <w:rFonts w:cstheme="minorHAnsi"/>
        </w:rPr>
        <w:t xml:space="preserve">proceda </w:t>
      </w:r>
      <w:r w:rsidR="0099036C" w:rsidRPr="00675E23">
        <w:rPr>
          <w:rFonts w:cstheme="minorHAnsi"/>
        </w:rPr>
        <w:t>a su aclaración dentro de los treinta (30) días calendario siguientes</w:t>
      </w:r>
      <w:r w:rsidR="00177617" w:rsidRPr="00675E23">
        <w:rPr>
          <w:rFonts w:cstheme="minorHAnsi"/>
        </w:rPr>
        <w:t xml:space="preserve"> (art. 13 ley 951 de 2005).</w:t>
      </w:r>
    </w:p>
    <w:p w:rsidR="00423180" w:rsidRPr="00675E23" w:rsidRDefault="00423180" w:rsidP="00B351FE">
      <w:pPr>
        <w:pStyle w:val="Sinespaciado"/>
        <w:jc w:val="both"/>
        <w:rPr>
          <w:rFonts w:cstheme="minorHAnsi"/>
        </w:rPr>
      </w:pPr>
    </w:p>
    <w:p w:rsidR="009135B3" w:rsidRPr="00675E23" w:rsidRDefault="009135B3" w:rsidP="00B351FE">
      <w:pPr>
        <w:pStyle w:val="Sinespaciado"/>
        <w:jc w:val="both"/>
        <w:rPr>
          <w:rFonts w:cstheme="minorHAnsi"/>
        </w:rPr>
      </w:pPr>
    </w:p>
    <w:p w:rsidR="0056072C" w:rsidRPr="00675E23" w:rsidRDefault="0056072C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</w:rPr>
        <w:t>Firma funcionario que entrega</w:t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  <w:t>Firma funcionario que recibe</w:t>
      </w:r>
    </w:p>
    <w:p w:rsidR="00423180" w:rsidRPr="00675E23" w:rsidRDefault="00423180" w:rsidP="00B351FE">
      <w:pPr>
        <w:pStyle w:val="Sinespaciado"/>
        <w:jc w:val="both"/>
        <w:rPr>
          <w:rFonts w:cstheme="minorHAnsi"/>
        </w:rPr>
      </w:pPr>
    </w:p>
    <w:p w:rsidR="00423180" w:rsidRPr="00675E23" w:rsidRDefault="00423180" w:rsidP="00B351FE">
      <w:pPr>
        <w:pStyle w:val="Sinespaciado"/>
        <w:jc w:val="both"/>
        <w:rPr>
          <w:rFonts w:cstheme="minorHAnsi"/>
        </w:rPr>
      </w:pPr>
    </w:p>
    <w:p w:rsidR="00B351FE" w:rsidRPr="00675E23" w:rsidRDefault="00B351FE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</w:rPr>
        <w:t>____________________________</w:t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  <w:t>_________________________________</w:t>
      </w:r>
    </w:p>
    <w:p w:rsidR="00423180" w:rsidRPr="00675E23" w:rsidRDefault="0056072C" w:rsidP="00B351FE">
      <w:pPr>
        <w:pStyle w:val="Sinespaciado"/>
        <w:jc w:val="both"/>
        <w:rPr>
          <w:rFonts w:cstheme="minorHAnsi"/>
        </w:rPr>
      </w:pPr>
      <w:r w:rsidRPr="00675E23">
        <w:rPr>
          <w:rFonts w:cstheme="minorHAnsi"/>
        </w:rPr>
        <w:t>Nombre:</w:t>
      </w:r>
      <w:r w:rsidR="00423180" w:rsidRPr="00675E23">
        <w:rPr>
          <w:rFonts w:cstheme="minorHAnsi"/>
        </w:rPr>
        <w:tab/>
      </w:r>
      <w:r w:rsidR="00423180" w:rsidRPr="00675E23">
        <w:rPr>
          <w:rFonts w:cstheme="minorHAnsi"/>
        </w:rPr>
        <w:tab/>
      </w:r>
      <w:r w:rsidR="00423180" w:rsidRPr="00675E23">
        <w:rPr>
          <w:rFonts w:cstheme="minorHAnsi"/>
        </w:rPr>
        <w:tab/>
      </w:r>
      <w:r w:rsidR="00423180"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</w:r>
      <w:r w:rsidRPr="00675E23">
        <w:rPr>
          <w:rFonts w:cstheme="minorHAnsi"/>
        </w:rPr>
        <w:tab/>
        <w:t xml:space="preserve">Nombre: </w:t>
      </w:r>
    </w:p>
    <w:sectPr w:rsidR="00423180" w:rsidRPr="00675E23" w:rsidSect="00434F86">
      <w:headerReference w:type="default" r:id="rId7"/>
      <w:pgSz w:w="12242" w:h="18722" w:code="119"/>
      <w:pgMar w:top="1440" w:right="1080" w:bottom="1440" w:left="1080" w:header="1174" w:footer="86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D8" w:rsidRDefault="006F30D8">
      <w:pPr>
        <w:spacing w:after="0" w:line="240" w:lineRule="auto"/>
      </w:pPr>
      <w:r>
        <w:separator/>
      </w:r>
    </w:p>
  </w:endnote>
  <w:endnote w:type="continuationSeparator" w:id="0">
    <w:p w:rsidR="006F30D8" w:rsidRDefault="006F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D8" w:rsidRDefault="006F30D8">
      <w:pPr>
        <w:spacing w:after="0" w:line="240" w:lineRule="auto"/>
      </w:pPr>
      <w:r>
        <w:separator/>
      </w:r>
    </w:p>
  </w:footnote>
  <w:footnote w:type="continuationSeparator" w:id="0">
    <w:p w:rsidR="006F30D8" w:rsidRDefault="006F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8" w:type="dxa"/>
      <w:jc w:val="center"/>
      <w:tblInd w:w="18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9"/>
      <w:gridCol w:w="5933"/>
      <w:gridCol w:w="2036"/>
    </w:tblGrid>
    <w:tr w:rsidR="00E70DBC" w:rsidRPr="00806CCB" w:rsidTr="00806CCB">
      <w:trPr>
        <w:trHeight w:val="446"/>
        <w:jc w:val="center"/>
      </w:trPr>
      <w:tc>
        <w:tcPr>
          <w:tcW w:w="1897" w:type="dxa"/>
          <w:vMerge w:val="restart"/>
          <w:vAlign w:val="center"/>
        </w:tcPr>
        <w:p w:rsidR="00E70DBC" w:rsidRPr="00806CCB" w:rsidRDefault="00434F86" w:rsidP="00E70DBC">
          <w:pPr>
            <w:pStyle w:val="Sinespaciado"/>
            <w:rPr>
              <w:rFonts w:cs="Calibri"/>
              <w:sz w:val="24"/>
              <w:szCs w:val="24"/>
            </w:rPr>
          </w:pPr>
          <w:r>
            <w:rPr>
              <w:rFonts w:cs="Calibri"/>
              <w:noProof/>
              <w:sz w:val="24"/>
              <w:szCs w:val="24"/>
            </w:rPr>
            <w:drawing>
              <wp:inline distT="0" distB="0" distL="0" distR="0" wp14:anchorId="3CDAB157" wp14:editId="2CD22E59">
                <wp:extent cx="1068705" cy="593725"/>
                <wp:effectExtent l="0" t="0" r="0" b="0"/>
                <wp:docPr id="2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Align w:val="center"/>
        </w:tcPr>
        <w:p w:rsidR="00E70DBC" w:rsidRPr="00806CCB" w:rsidRDefault="00E70DBC" w:rsidP="00E70DBC">
          <w:pPr>
            <w:pStyle w:val="Sinespaciado"/>
            <w:jc w:val="center"/>
            <w:rPr>
              <w:rFonts w:cs="Calibri"/>
              <w:b/>
              <w:sz w:val="24"/>
              <w:szCs w:val="24"/>
            </w:rPr>
          </w:pPr>
          <w:r w:rsidRPr="00806CCB">
            <w:rPr>
              <w:rFonts w:cs="Calibri"/>
              <w:b/>
              <w:sz w:val="24"/>
              <w:szCs w:val="24"/>
            </w:rPr>
            <w:t>ALCALDIA DE POPAYÁN</w:t>
          </w:r>
        </w:p>
      </w:tc>
      <w:tc>
        <w:tcPr>
          <w:tcW w:w="2036" w:type="dxa"/>
          <w:vAlign w:val="center"/>
        </w:tcPr>
        <w:p w:rsidR="00E70DBC" w:rsidRPr="00806CCB" w:rsidRDefault="00195165" w:rsidP="00806CCB">
          <w:pPr>
            <w:pStyle w:val="Sinespaciado"/>
            <w:jc w:val="center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>F-GTH-ATH-09</w:t>
          </w:r>
        </w:p>
      </w:tc>
    </w:tr>
    <w:tr w:rsidR="00E70DBC" w:rsidRPr="00806CCB" w:rsidTr="00806CCB">
      <w:trPr>
        <w:trHeight w:val="312"/>
        <w:jc w:val="center"/>
      </w:trPr>
      <w:tc>
        <w:tcPr>
          <w:tcW w:w="1897" w:type="dxa"/>
          <w:vMerge/>
          <w:vAlign w:val="center"/>
        </w:tcPr>
        <w:p w:rsidR="00E70DBC" w:rsidRPr="00806CCB" w:rsidRDefault="00E70DBC" w:rsidP="00E70DBC">
          <w:pPr>
            <w:pStyle w:val="Sinespaciado"/>
            <w:rPr>
              <w:rFonts w:cs="Calibri"/>
              <w:sz w:val="24"/>
              <w:szCs w:val="24"/>
            </w:rPr>
          </w:pPr>
        </w:p>
      </w:tc>
      <w:tc>
        <w:tcPr>
          <w:tcW w:w="5935" w:type="dxa"/>
          <w:vMerge w:val="restart"/>
          <w:vAlign w:val="center"/>
        </w:tcPr>
        <w:p w:rsidR="00E70DBC" w:rsidRPr="00806CCB" w:rsidRDefault="00806CCB" w:rsidP="00E70DBC">
          <w:pPr>
            <w:pStyle w:val="Sinespaciado"/>
            <w:jc w:val="center"/>
            <w:rPr>
              <w:rFonts w:cs="Calibri"/>
              <w:b/>
              <w:sz w:val="24"/>
              <w:szCs w:val="24"/>
            </w:rPr>
          </w:pPr>
          <w:r w:rsidRPr="00806CCB">
            <w:rPr>
              <w:rFonts w:cs="Calibri"/>
              <w:b/>
              <w:sz w:val="24"/>
              <w:szCs w:val="24"/>
            </w:rPr>
            <w:t>ACTA DE ENTREGA DE PUESTO DE TRABAJO</w:t>
          </w:r>
        </w:p>
      </w:tc>
      <w:tc>
        <w:tcPr>
          <w:tcW w:w="2036" w:type="dxa"/>
          <w:vAlign w:val="center"/>
        </w:tcPr>
        <w:p w:rsidR="00E70DBC" w:rsidRPr="00806CCB" w:rsidRDefault="00E70DBC" w:rsidP="00806CCB">
          <w:pPr>
            <w:pStyle w:val="Sinespaciado"/>
            <w:jc w:val="center"/>
            <w:rPr>
              <w:rFonts w:cs="Calibri"/>
              <w:sz w:val="24"/>
              <w:szCs w:val="24"/>
            </w:rPr>
          </w:pPr>
          <w:r w:rsidRPr="00806CCB">
            <w:rPr>
              <w:rFonts w:cs="Calibri"/>
              <w:sz w:val="24"/>
              <w:szCs w:val="24"/>
            </w:rPr>
            <w:t>Versión: 01</w:t>
          </w:r>
        </w:p>
      </w:tc>
    </w:tr>
    <w:tr w:rsidR="00E70DBC" w:rsidRPr="00806CCB" w:rsidTr="00806CCB">
      <w:trPr>
        <w:trHeight w:val="245"/>
        <w:jc w:val="center"/>
      </w:trPr>
      <w:tc>
        <w:tcPr>
          <w:tcW w:w="1897" w:type="dxa"/>
          <w:vMerge/>
          <w:vAlign w:val="center"/>
        </w:tcPr>
        <w:p w:rsidR="00E70DBC" w:rsidRPr="00806CCB" w:rsidRDefault="00E70DBC" w:rsidP="00E70DBC">
          <w:pPr>
            <w:pStyle w:val="Sinespaciado"/>
            <w:rPr>
              <w:rFonts w:cs="Calibri"/>
              <w:sz w:val="24"/>
              <w:szCs w:val="24"/>
            </w:rPr>
          </w:pPr>
        </w:p>
      </w:tc>
      <w:tc>
        <w:tcPr>
          <w:tcW w:w="5935" w:type="dxa"/>
          <w:vMerge/>
          <w:vAlign w:val="center"/>
        </w:tcPr>
        <w:p w:rsidR="00E70DBC" w:rsidRPr="00806CCB" w:rsidRDefault="00E70DBC" w:rsidP="00E70DBC">
          <w:pPr>
            <w:pStyle w:val="Sinespaciado"/>
            <w:jc w:val="center"/>
            <w:rPr>
              <w:rFonts w:cs="Calibri"/>
              <w:sz w:val="24"/>
              <w:szCs w:val="24"/>
            </w:rPr>
          </w:pPr>
        </w:p>
      </w:tc>
      <w:tc>
        <w:tcPr>
          <w:tcW w:w="2036" w:type="dxa"/>
          <w:vAlign w:val="center"/>
        </w:tcPr>
        <w:p w:rsidR="00E70DBC" w:rsidRPr="00806CCB" w:rsidRDefault="00E70DBC" w:rsidP="00806CCB">
          <w:pPr>
            <w:pStyle w:val="Sinespaciado"/>
            <w:jc w:val="center"/>
            <w:rPr>
              <w:rFonts w:cs="Calibri"/>
              <w:sz w:val="24"/>
              <w:szCs w:val="24"/>
            </w:rPr>
          </w:pPr>
          <w:r w:rsidRPr="00806CCB">
            <w:rPr>
              <w:rFonts w:cs="Calibri"/>
              <w:sz w:val="24"/>
              <w:szCs w:val="24"/>
            </w:rPr>
            <w:t xml:space="preserve">Página: </w:t>
          </w:r>
          <w:r w:rsidRPr="00806CCB">
            <w:rPr>
              <w:rFonts w:cs="Calibri"/>
              <w:sz w:val="24"/>
              <w:szCs w:val="24"/>
            </w:rPr>
            <w:fldChar w:fldCharType="begin"/>
          </w:r>
          <w:r w:rsidRPr="00806CCB">
            <w:rPr>
              <w:rFonts w:cs="Calibri"/>
              <w:sz w:val="24"/>
              <w:szCs w:val="24"/>
            </w:rPr>
            <w:instrText xml:space="preserve"> PAGE </w:instrText>
          </w:r>
          <w:r w:rsidRPr="00806CCB">
            <w:rPr>
              <w:rFonts w:cs="Calibri"/>
              <w:sz w:val="24"/>
              <w:szCs w:val="24"/>
            </w:rPr>
            <w:fldChar w:fldCharType="separate"/>
          </w:r>
          <w:r w:rsidR="00195165">
            <w:rPr>
              <w:rFonts w:cs="Calibri"/>
              <w:noProof/>
              <w:sz w:val="24"/>
              <w:szCs w:val="24"/>
            </w:rPr>
            <w:t>2</w:t>
          </w:r>
          <w:r w:rsidRPr="00806CCB">
            <w:rPr>
              <w:rFonts w:cs="Calibri"/>
              <w:sz w:val="24"/>
              <w:szCs w:val="24"/>
            </w:rPr>
            <w:fldChar w:fldCharType="end"/>
          </w:r>
          <w:r w:rsidRPr="00806CCB">
            <w:rPr>
              <w:rFonts w:cs="Calibri"/>
              <w:sz w:val="24"/>
              <w:szCs w:val="24"/>
            </w:rPr>
            <w:t xml:space="preserve"> de </w:t>
          </w:r>
          <w:r w:rsidRPr="00806CCB">
            <w:rPr>
              <w:rFonts w:cs="Calibri"/>
              <w:sz w:val="24"/>
              <w:szCs w:val="24"/>
            </w:rPr>
            <w:fldChar w:fldCharType="begin"/>
          </w:r>
          <w:r w:rsidRPr="00806CCB">
            <w:rPr>
              <w:rFonts w:cs="Calibri"/>
              <w:sz w:val="24"/>
              <w:szCs w:val="24"/>
            </w:rPr>
            <w:instrText xml:space="preserve"> NUMPAGES </w:instrText>
          </w:r>
          <w:r w:rsidRPr="00806CCB">
            <w:rPr>
              <w:rFonts w:cs="Calibri"/>
              <w:sz w:val="24"/>
              <w:szCs w:val="24"/>
            </w:rPr>
            <w:fldChar w:fldCharType="separate"/>
          </w:r>
          <w:r w:rsidR="00195165">
            <w:rPr>
              <w:rFonts w:cs="Calibri"/>
              <w:noProof/>
              <w:sz w:val="24"/>
              <w:szCs w:val="24"/>
            </w:rPr>
            <w:t>2</w:t>
          </w:r>
          <w:r w:rsidRPr="00806CCB">
            <w:rPr>
              <w:rFonts w:cs="Calibri"/>
              <w:sz w:val="24"/>
              <w:szCs w:val="24"/>
            </w:rPr>
            <w:fldChar w:fldCharType="end"/>
          </w:r>
        </w:p>
      </w:tc>
    </w:tr>
  </w:tbl>
  <w:p w:rsidR="009C580B" w:rsidRDefault="009C58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52"/>
    <w:rsid w:val="00086ED5"/>
    <w:rsid w:val="00177617"/>
    <w:rsid w:val="00191252"/>
    <w:rsid w:val="00195165"/>
    <w:rsid w:val="001F3FB0"/>
    <w:rsid w:val="00263780"/>
    <w:rsid w:val="00316EB5"/>
    <w:rsid w:val="00372191"/>
    <w:rsid w:val="00423180"/>
    <w:rsid w:val="00434F86"/>
    <w:rsid w:val="00437D5F"/>
    <w:rsid w:val="00450168"/>
    <w:rsid w:val="00473C18"/>
    <w:rsid w:val="0048586A"/>
    <w:rsid w:val="0056072C"/>
    <w:rsid w:val="00566606"/>
    <w:rsid w:val="0059431A"/>
    <w:rsid w:val="005C3D65"/>
    <w:rsid w:val="00623C9F"/>
    <w:rsid w:val="00675E23"/>
    <w:rsid w:val="006F30D8"/>
    <w:rsid w:val="00702D80"/>
    <w:rsid w:val="00806CCB"/>
    <w:rsid w:val="008759D0"/>
    <w:rsid w:val="008D0709"/>
    <w:rsid w:val="009028F5"/>
    <w:rsid w:val="009135B3"/>
    <w:rsid w:val="009278E7"/>
    <w:rsid w:val="0099036C"/>
    <w:rsid w:val="009C580B"/>
    <w:rsid w:val="009D3D15"/>
    <w:rsid w:val="00A15A6F"/>
    <w:rsid w:val="00A41A15"/>
    <w:rsid w:val="00AD3DA6"/>
    <w:rsid w:val="00B351FE"/>
    <w:rsid w:val="00B72FAE"/>
    <w:rsid w:val="00BC3F08"/>
    <w:rsid w:val="00C77DB4"/>
    <w:rsid w:val="00CE7D53"/>
    <w:rsid w:val="00CF78A6"/>
    <w:rsid w:val="00DB057C"/>
    <w:rsid w:val="00DB2DD4"/>
    <w:rsid w:val="00E12FB1"/>
    <w:rsid w:val="00E531E3"/>
    <w:rsid w:val="00E70DBC"/>
    <w:rsid w:val="00EF3DB0"/>
    <w:rsid w:val="00F363F2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A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15A6F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5A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5A6F"/>
    <w:rPr>
      <w:rFonts w:cs="Times New Roman"/>
    </w:rPr>
  </w:style>
  <w:style w:type="paragraph" w:customStyle="1" w:styleId="Default">
    <w:name w:val="Default"/>
    <w:rsid w:val="001F3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E70DB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A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15A6F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5A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5A6F"/>
    <w:rPr>
      <w:rFonts w:cs="Times New Roman"/>
    </w:rPr>
  </w:style>
  <w:style w:type="paragraph" w:customStyle="1" w:styleId="Default">
    <w:name w:val="Default"/>
    <w:rsid w:val="001F3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E70DB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sistemas</dc:creator>
  <cp:lastModifiedBy>javier andres bernal lopez</cp:lastModifiedBy>
  <cp:revision>4</cp:revision>
  <cp:lastPrinted>2017-08-03T23:05:00Z</cp:lastPrinted>
  <dcterms:created xsi:type="dcterms:W3CDTF">2017-08-03T23:05:00Z</dcterms:created>
  <dcterms:modified xsi:type="dcterms:W3CDTF">2017-08-04T19:54:00Z</dcterms:modified>
</cp:coreProperties>
</file>