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7" w:rsidRDefault="00CD2476">
      <w:r>
        <w:rPr>
          <w:lang w:eastAsia="es-CO"/>
        </w:rPr>
        <w:drawing>
          <wp:inline distT="0" distB="0" distL="0" distR="0">
            <wp:extent cx="5612130" cy="1751330"/>
            <wp:effectExtent l="0" t="0" r="762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76" w:rsidRPr="00CD2476" w:rsidRDefault="00CD2476" w:rsidP="00CD2476">
      <w:pPr>
        <w:shd w:val="clear" w:color="auto" w:fill="FFFFFF"/>
        <w:spacing w:before="180" w:after="135" w:line="240" w:lineRule="auto"/>
        <w:ind w:right="15"/>
        <w:outlineLvl w:val="0"/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</w:pPr>
      <w:bookmarkStart w:id="0" w:name="_GoBack"/>
      <w:r w:rsidRPr="00CD2476"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  <w:t xml:space="preserve">Boletín </w:t>
      </w:r>
      <w:proofErr w:type="spellStart"/>
      <w:r w:rsidRPr="00CD2476"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  <w:t>No.356</w:t>
      </w:r>
      <w:proofErr w:type="spellEnd"/>
      <w:r w:rsidRPr="00CD2476"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  <w:t>. Viernes 13 de diciembre de 2013</w:t>
      </w:r>
    </w:p>
    <w:bookmarkEnd w:id="0"/>
    <w:p w:rsidR="00CD2476" w:rsidRDefault="00CD2476"/>
    <w:p w:rsidR="00CD2476" w:rsidRDefault="00CD2476"/>
    <w:p w:rsidR="00CD2476" w:rsidRPr="00CD2476" w:rsidRDefault="00CD2476" w:rsidP="00CD2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30"/>
          <w:szCs w:val="30"/>
          <w:lang w:eastAsia="es-CO"/>
        </w:rPr>
        <w:t xml:space="preserve">Fin de semana de conciertos y presentaciones artísticas con la final de </w:t>
      </w:r>
      <w:proofErr w:type="spellStart"/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30"/>
          <w:szCs w:val="30"/>
          <w:lang w:eastAsia="es-CO"/>
        </w:rPr>
        <w:t>Comunarte</w:t>
      </w:r>
      <w:proofErr w:type="spellEnd"/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30"/>
          <w:szCs w:val="30"/>
          <w:lang w:eastAsia="es-CO"/>
        </w:rPr>
        <w:t xml:space="preserve"> 2013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El Concurso </w:t>
      </w: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Intercomunas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 de Talentos Artísticos, </w:t>
      </w: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Comunarte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 2013 que impulsa la Alcaldía de Popayán a través de la Secretaría del Deporte y la Cultura, llega a su final y realiza las dos últimas presentaciones este sábado 14 y domingo 15 de diciembre en la Arcada de La Herrería, a partir de las 2:00 de la tarde.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El concurso cuenta con nuevos detalles para la gran final. Al jurado calificador integrado por tres personas, se suman dos profesionales para la elección final. Se trata de </w:t>
      </w: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Jhon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 Jairo Flórez, ganador del Festival de Música Colombiana ‘Mono Núñez 2011’ y </w:t>
      </w: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Mariam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 Mondragón, licenciada en Música. 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La premiación tiene un valor agregado. El certamen artístico premia los tres primeros lugares y adicionalmente, entregará un obsequio sorpresa para los artistas campeones en cada categoría. De igual manera, habrá reconocimiento especial para los concursantes en la categoría de la tercera edad y la categoría de exhibición.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Así mismo, los ganadores del concurso, tendrán la posibilidad de hacer parte de la programación oficial del ‘Carnaval de Pubenza 2014’, participando en el desfile de comparsas, colonias y silleteros. 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24"/>
          <w:szCs w:val="24"/>
          <w:lang w:eastAsia="es-CO"/>
        </w:rPr>
        <w:t>Programación sábado 14 de diciembre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Canto solista infantil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Talento artístico individual mayor y menor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Agrupaciones de danza folclórica de mayores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lastRenderedPageBreak/>
        <w:t>Baile popular infantil niños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24"/>
          <w:szCs w:val="24"/>
          <w:lang w:eastAsia="es-CO"/>
        </w:rPr>
        <w:t>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24"/>
          <w:szCs w:val="24"/>
          <w:lang w:eastAsia="es-CO"/>
        </w:rPr>
        <w:t>Programación sábado 14 de diciembre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Canto solista, mayores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Baile popular, mayores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Agrupaciones musicales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b/>
          <w:bCs/>
          <w:noProof w:val="0"/>
          <w:color w:val="222222"/>
          <w:sz w:val="24"/>
          <w:szCs w:val="24"/>
          <w:lang w:eastAsia="es-CO"/>
        </w:rPr>
        <w:t>Jurado calificador:</w:t>
      </w: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>Edwuar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 xml:space="preserve"> </w:t>
      </w: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>Belalcázar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>, maestro y músico de profesión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>Martha Henao, licenciada en Educación Artística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>Víctor Hugo Chávez, licenciado en música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Jhon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 Jairo Flórez, ganador del ‘Mono Núñez 2011’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proofErr w:type="spell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Mariam</w:t>
      </w:r>
      <w:proofErr w:type="spell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 Mondragón, licenciada en Música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val="es-ES" w:eastAsia="es-CO"/>
        </w:rPr>
        <w:t> </w:t>
      </w:r>
    </w:p>
    <w:p w:rsidR="00CD2476" w:rsidRPr="00CD2476" w:rsidRDefault="00CD2476" w:rsidP="00CD2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es-CO"/>
        </w:rPr>
      </w:pPr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 xml:space="preserve">El listado de los artistas que se presentarán en la final los puedes consultar en </w:t>
      </w:r>
      <w:proofErr w:type="gramStart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el  link</w:t>
      </w:r>
      <w:proofErr w:type="gramEnd"/>
      <w:r w:rsidRPr="00CD2476">
        <w:rPr>
          <w:rFonts w:ascii="MS Reference Sans Serif" w:eastAsia="Times New Roman" w:hAnsi="MS Reference Sans Serif" w:cs="Times New Roman"/>
          <w:noProof w:val="0"/>
          <w:color w:val="222222"/>
          <w:sz w:val="24"/>
          <w:szCs w:val="24"/>
          <w:lang w:eastAsia="es-CO"/>
        </w:rPr>
        <w:t>: </w:t>
      </w:r>
      <w:hyperlink r:id="rId6" w:tgtFrame="_blank" w:history="1">
        <w:r w:rsidRPr="00CD2476">
          <w:rPr>
            <w:rFonts w:ascii="MS Reference Sans Serif" w:eastAsia="Times New Roman" w:hAnsi="MS Reference Sans Serif" w:cs="Times New Roman"/>
            <w:noProof w:val="0"/>
            <w:color w:val="1155CC"/>
            <w:sz w:val="24"/>
            <w:szCs w:val="24"/>
            <w:u w:val="single"/>
            <w:lang w:eastAsia="es-CO"/>
          </w:rPr>
          <w:t>http://bit.ly/1avy1tY</w:t>
        </w:r>
      </w:hyperlink>
    </w:p>
    <w:p w:rsidR="00CD2476" w:rsidRDefault="00CD2476"/>
    <w:sectPr w:rsidR="00CD2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76"/>
    <w:rsid w:val="00181336"/>
    <w:rsid w:val="00244F7E"/>
    <w:rsid w:val="00407FDE"/>
    <w:rsid w:val="005518A8"/>
    <w:rsid w:val="007D4CAA"/>
    <w:rsid w:val="008B314B"/>
    <w:rsid w:val="009C3215"/>
    <w:rsid w:val="00AD2731"/>
    <w:rsid w:val="00AD77AE"/>
    <w:rsid w:val="00CD247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476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CD2476"/>
  </w:style>
  <w:style w:type="character" w:customStyle="1" w:styleId="apple-converted-space">
    <w:name w:val="apple-converted-space"/>
    <w:basedOn w:val="Fuentedeprrafopredeter"/>
    <w:rsid w:val="00CD2476"/>
  </w:style>
  <w:style w:type="character" w:styleId="Hipervnculo">
    <w:name w:val="Hyperlink"/>
    <w:basedOn w:val="Fuentedeprrafopredeter"/>
    <w:uiPriority w:val="99"/>
    <w:semiHidden/>
    <w:unhideWhenUsed/>
    <w:rsid w:val="00CD2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476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CD2476"/>
  </w:style>
  <w:style w:type="character" w:customStyle="1" w:styleId="apple-converted-space">
    <w:name w:val="apple-converted-space"/>
    <w:basedOn w:val="Fuentedeprrafopredeter"/>
    <w:rsid w:val="00CD2476"/>
  </w:style>
  <w:style w:type="character" w:styleId="Hipervnculo">
    <w:name w:val="Hyperlink"/>
    <w:basedOn w:val="Fuentedeprrafopredeter"/>
    <w:uiPriority w:val="99"/>
    <w:semiHidden/>
    <w:unhideWhenUsed/>
    <w:rsid w:val="00CD2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.ly/1avy1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</cp:revision>
  <dcterms:created xsi:type="dcterms:W3CDTF">2013-12-17T15:50:00Z</dcterms:created>
  <dcterms:modified xsi:type="dcterms:W3CDTF">2013-12-17T15:52:00Z</dcterms:modified>
</cp:coreProperties>
</file>